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4BDEC">
      <w:pPr>
        <w:pStyle w:val="4"/>
        <w:numPr>
          <w:ilvl w:val="2"/>
          <w:numId w:val="0"/>
        </w:numPr>
        <w:ind w:leftChars="0"/>
        <w:jc w:val="center"/>
        <w:rPr>
          <w:rFonts w:hint="eastAsia" w:ascii="宋体" w:hAnsi="宋体" w:eastAsia="宋体"/>
          <w:sz w:val="32"/>
          <w:szCs w:val="32"/>
          <w:lang w:eastAsia="zh-CN"/>
        </w:rPr>
      </w:pPr>
      <w:bookmarkStart w:id="0" w:name="_GoBack"/>
      <w:bookmarkEnd w:id="0"/>
      <w:r>
        <w:rPr>
          <w:rFonts w:hint="eastAsia" w:ascii="Times New Roman" w:hAnsi="宋体" w:eastAsia="微软雅黑" w:cstheme="minorBidi"/>
          <w:b/>
          <w:bCs/>
          <w:kern w:val="2"/>
          <w:sz w:val="32"/>
          <w:szCs w:val="32"/>
          <w:lang w:val="en-US" w:eastAsia="zh-CN" w:bidi="ar-SA"/>
        </w:rPr>
        <w:t>Ultra-high-definition intelligent integrated explosion-proof surveillance camera QC-Q1-FB</w:t>
      </w:r>
    </w:p>
    <w:p w14:paraId="687EFD84">
      <w:pPr>
        <w:pStyle w:val="2"/>
        <w:numPr>
          <w:ilvl w:val="0"/>
          <w:numId w:val="2"/>
        </w:numPr>
        <w:bidi w:val="0"/>
        <w:ind w:left="425" w:leftChars="0" w:hanging="425" w:firstLineChars="0"/>
        <w:rPr>
          <w:sz w:val="30"/>
          <w:szCs w:val="30"/>
        </w:rPr>
      </w:pPr>
      <w:r>
        <w:rPr>
          <w:rFonts w:hint="eastAsia" w:ascii="Times New Roman" w:eastAsia="微软雅黑" w:hAnsiTheme="minorHAnsi" w:cstheme="minorBidi"/>
          <w:b/>
          <w:kern w:val="44"/>
          <w:sz w:val="30"/>
          <w:szCs w:val="30"/>
          <w:lang w:val="en-US" w:eastAsia="zh-CN" w:bidi="ar-SA"/>
        </w:rPr>
        <w:t>Product Overview</w:t>
      </w:r>
    </w:p>
    <w:p w14:paraId="25F824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The QC-Q1-FB series explosion-proof control balls are industrial-grade products developed based on high-definition intelligent control balls, featuring explosion-proof certification. Compliant with national standards such as GB/T 3836.1-2021, GB/T 3836.2-2021, and GBT 3836.31-2021, these balls are widely applicable in industries involving flammable and explosive materials, including petroleum extraction and chemical production/transportation.</w:t>
      </w:r>
    </w:p>
    <w:p w14:paraId="1528286E">
      <w:pPr>
        <w:jc w:val="center"/>
        <w:rPr>
          <w:rFonts w:ascii="宋体" w:hAnsi="宋体" w:eastAsia="宋体"/>
        </w:rPr>
      </w:pPr>
      <w:r>
        <w:rPr>
          <w:rFonts w:ascii="宋体" w:hAnsi="宋体" w:eastAsia="宋体"/>
        </w:rPr>
        <w:drawing>
          <wp:inline distT="0" distB="0" distL="0" distR="0">
            <wp:extent cx="3588385" cy="2689860"/>
            <wp:effectExtent l="0" t="0" r="12065" b="15240"/>
            <wp:docPr id="71181826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818265" name="图片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3593046" cy="2693703"/>
                    </a:xfrm>
                    <a:prstGeom prst="rect">
                      <a:avLst/>
                    </a:prstGeom>
                    <a:noFill/>
                    <a:ln>
                      <a:noFill/>
                    </a:ln>
                  </pic:spPr>
                </pic:pic>
              </a:graphicData>
            </a:graphic>
          </wp:inline>
        </w:drawing>
      </w:r>
    </w:p>
    <w:p w14:paraId="6D0BEF4F">
      <w:pPr>
        <w:pStyle w:val="2"/>
        <w:numPr>
          <w:ilvl w:val="0"/>
          <w:numId w:val="2"/>
        </w:numPr>
        <w:bidi w:val="0"/>
        <w:ind w:left="425" w:leftChars="0" w:hanging="425" w:firstLineChars="0"/>
        <w:rPr>
          <w:rFonts w:hint="eastAsia"/>
          <w:b/>
          <w:sz w:val="30"/>
          <w:szCs w:val="30"/>
        </w:rPr>
      </w:pPr>
      <w:r>
        <w:rPr>
          <w:rFonts w:hint="eastAsia" w:ascii="Times New Roman" w:eastAsia="微软雅黑" w:hAnsiTheme="minorHAnsi" w:cstheme="minorBidi"/>
          <w:b/>
          <w:kern w:val="44"/>
          <w:sz w:val="30"/>
          <w:szCs w:val="30"/>
          <w:lang w:val="en-US" w:eastAsia="zh-CN" w:bidi="ar-SA"/>
        </w:rPr>
        <w:t>functional characteristics</w:t>
      </w:r>
    </w:p>
    <w:p w14:paraId="2A56384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304 stainless steel – Industrial explosion-proof standard</w:t>
      </w:r>
    </w:p>
    <w:p w14:paraId="5974487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Face recognition License plate recognition</w:t>
      </w:r>
    </w:p>
    <w:p w14:paraId="7897734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Powered by a 10Ah high-capacity lithium battery</w:t>
      </w:r>
    </w:p>
    <w:p w14:paraId="1C1FA0F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Spring button: One-touch startup</w:t>
      </w:r>
    </w:p>
    <w:p w14:paraId="25B743D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IP68 protection: Water and dust resistant</w:t>
      </w:r>
    </w:p>
    <w:p w14:paraId="280596B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Smart Dehumidification | High-Definition Image</w:t>
      </w:r>
    </w:p>
    <w:p w14:paraId="02AC43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H.264/H.265 video compression encoding</w:t>
      </w:r>
    </w:p>
    <w:p w14:paraId="4CC982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3D Ball Control – One-Touch Focus</w:t>
      </w:r>
    </w:p>
    <w:p w14:paraId="5F2936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1080P dual-stream transmission</w:t>
      </w:r>
    </w:p>
    <w:p w14:paraId="5C61905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Beidou/GPS dual-mode positioning</w:t>
      </w:r>
    </w:p>
    <w:p w14:paraId="7C771C16">
      <w:pPr>
        <w:pStyle w:val="2"/>
        <w:numPr>
          <w:ilvl w:val="0"/>
          <w:numId w:val="2"/>
        </w:numPr>
        <w:bidi w:val="0"/>
        <w:ind w:left="425" w:leftChars="0" w:hanging="425" w:firstLineChars="0"/>
        <w:rPr>
          <w:rFonts w:hint="eastAsia"/>
          <w:b/>
          <w:sz w:val="30"/>
          <w:szCs w:val="30"/>
        </w:rPr>
      </w:pPr>
      <w:r>
        <w:rPr>
          <w:rFonts w:hint="eastAsia" w:ascii="Times New Roman" w:eastAsia="微软雅黑" w:hAnsiTheme="minorHAnsi" w:cstheme="minorBidi"/>
          <w:b/>
          <w:kern w:val="44"/>
          <w:sz w:val="30"/>
          <w:szCs w:val="30"/>
          <w:lang w:val="en-US" w:eastAsia="zh-CN" w:bidi="ar-SA"/>
        </w:rPr>
        <w:t>Specification Parameters</w:t>
      </w:r>
    </w:p>
    <w:tbl>
      <w:tblPr>
        <w:tblStyle w:val="9"/>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8"/>
        <w:gridCol w:w="6801"/>
      </w:tblGrid>
      <w:tr w14:paraId="019EF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shd w:val="clear" w:color="auto" w:fill="7F7F7F" w:themeFill="background1" w:themeFillShade="80"/>
          </w:tcPr>
          <w:p w14:paraId="3B8BD865">
            <w:pPr>
              <w:rPr>
                <w:rFonts w:hint="eastAsia" w:ascii="宋体" w:hAnsi="宋体" w:eastAsia="宋体"/>
                <w:b/>
                <w:bCs/>
                <w:lang w:eastAsia="zh-CN"/>
              </w:rPr>
            </w:pPr>
            <w:r>
              <w:rPr>
                <w:rFonts w:hint="eastAsia" w:ascii="Times New Roman" w:hAnsi="宋体" w:eastAsia="微软雅黑" w:cstheme="minorBidi"/>
                <w:b/>
                <w:bCs/>
                <w:kern w:val="2"/>
                <w:sz w:val="21"/>
                <w:szCs w:val="22"/>
                <w:lang w:val="en-US" w:eastAsia="zh-CN" w:bidi="ar-SA"/>
              </w:rPr>
              <w:t>project</w:t>
            </w:r>
          </w:p>
        </w:tc>
        <w:tc>
          <w:tcPr>
            <w:tcW w:w="6946" w:type="dxa"/>
            <w:shd w:val="clear" w:color="auto" w:fill="7F7F7F" w:themeFill="background1" w:themeFillShade="80"/>
          </w:tcPr>
          <w:p w14:paraId="414993AB">
            <w:pPr>
              <w:rPr>
                <w:rFonts w:hint="eastAsia" w:ascii="宋体" w:hAnsi="宋体" w:eastAsia="宋体"/>
                <w:b/>
                <w:bCs/>
                <w:lang w:eastAsia="zh-CN"/>
              </w:rPr>
            </w:pPr>
            <w:r>
              <w:rPr>
                <w:rFonts w:hint="eastAsia" w:ascii="Times New Roman" w:hAnsi="宋体" w:eastAsia="微软雅黑" w:cstheme="minorBidi"/>
                <w:b/>
                <w:bCs/>
                <w:kern w:val="2"/>
                <w:sz w:val="21"/>
                <w:szCs w:val="22"/>
                <w:lang w:val="en-US" w:eastAsia="zh-CN" w:bidi="ar-SA"/>
              </w:rPr>
              <w:t>technical parameter</w:t>
            </w:r>
          </w:p>
        </w:tc>
      </w:tr>
      <w:tr w14:paraId="55FB5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B8AA49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explosion-proof sign</w:t>
            </w:r>
          </w:p>
        </w:tc>
        <w:tc>
          <w:tcPr>
            <w:tcW w:w="6946" w:type="dxa"/>
          </w:tcPr>
          <w:p w14:paraId="62797DA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Ex db IIC T6 Gb/Ex tb IIIC T80℃ Db</w:t>
            </w:r>
          </w:p>
        </w:tc>
      </w:tr>
      <w:tr w14:paraId="0C223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4FCDF35">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imaging sensor</w:t>
            </w:r>
          </w:p>
        </w:tc>
        <w:tc>
          <w:tcPr>
            <w:tcW w:w="6946" w:type="dxa"/>
          </w:tcPr>
          <w:p w14:paraId="14EAB68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2 million CMOS sensors</w:t>
            </w:r>
          </w:p>
        </w:tc>
      </w:tr>
      <w:tr w14:paraId="17BDA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43A940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minimal illumination</w:t>
            </w:r>
          </w:p>
        </w:tc>
        <w:tc>
          <w:tcPr>
            <w:tcW w:w="6946" w:type="dxa"/>
          </w:tcPr>
          <w:p w14:paraId="484C2CD1">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Black and white mode: 0.0003 lx; Color mode: 0.0007 lx</w:t>
            </w:r>
          </w:p>
        </w:tc>
      </w:tr>
      <w:tr w14:paraId="16DB7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D890A0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Zoom factor</w:t>
            </w:r>
          </w:p>
        </w:tc>
        <w:tc>
          <w:tcPr>
            <w:tcW w:w="6946" w:type="dxa"/>
          </w:tcPr>
          <w:p w14:paraId="192B304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Focal length: 4.6 mm to 152 mm; 20x (30x) optical zoom &amp; 16x digital zoom</w:t>
            </w:r>
          </w:p>
        </w:tc>
      </w:tr>
      <w:tr w14:paraId="38EA5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438225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night visual range</w:t>
            </w:r>
          </w:p>
        </w:tc>
        <w:tc>
          <w:tcPr>
            <w:tcW w:w="6946" w:type="dxa"/>
          </w:tcPr>
          <w:p w14:paraId="3D2D64F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Equipped with 4 infrared LEDs, covering a range of 100 meters, with automatic/manual activation</w:t>
            </w:r>
          </w:p>
        </w:tc>
      </w:tr>
      <w:tr w14:paraId="76420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D3CF90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Cloud Platform</w:t>
            </w:r>
          </w:p>
        </w:tc>
        <w:tc>
          <w:tcPr>
            <w:tcW w:w="6946" w:type="dxa"/>
          </w:tcPr>
          <w:p w14:paraId="010626C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Horizontal 360°, Vertical-15° to 90°,255 preset positions</w:t>
            </w:r>
          </w:p>
        </w:tc>
      </w:tr>
      <w:tr w14:paraId="0475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358D25B">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video coding</w:t>
            </w:r>
          </w:p>
        </w:tc>
        <w:tc>
          <w:tcPr>
            <w:tcW w:w="6946" w:type="dxa"/>
          </w:tcPr>
          <w:p w14:paraId="3E16775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H.265/H.264</w:t>
            </w:r>
          </w:p>
        </w:tc>
      </w:tr>
      <w:tr w14:paraId="3969F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1F72782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Video Resolution</w:t>
            </w:r>
          </w:p>
        </w:tc>
        <w:tc>
          <w:tcPr>
            <w:tcW w:w="6946" w:type="dxa"/>
          </w:tcPr>
          <w:p w14:paraId="7CE039C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1080P/720P/D1/CIF</w:t>
            </w:r>
          </w:p>
        </w:tc>
      </w:tr>
      <w:tr w14:paraId="200CE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D3A268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Audio Encoding</w:t>
            </w:r>
          </w:p>
        </w:tc>
        <w:tc>
          <w:tcPr>
            <w:tcW w:w="6946" w:type="dxa"/>
          </w:tcPr>
          <w:p w14:paraId="5105878C">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AMR/AAC/G.711</w:t>
            </w:r>
          </w:p>
        </w:tc>
      </w:tr>
      <w:tr w14:paraId="77314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B16B27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Audio Features</w:t>
            </w:r>
          </w:p>
        </w:tc>
        <w:tc>
          <w:tcPr>
            <w:tcW w:w="6946" w:type="dxa"/>
          </w:tcPr>
          <w:p w14:paraId="5DD0E34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Built-in microphone; supports hands-free microphone and Bluetooth; customizable built-in speaker</w:t>
            </w:r>
          </w:p>
        </w:tc>
      </w:tr>
      <w:tr w14:paraId="2E617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6C06F55">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networking protocol</w:t>
            </w:r>
          </w:p>
        </w:tc>
        <w:tc>
          <w:tcPr>
            <w:tcW w:w="6946" w:type="dxa"/>
          </w:tcPr>
          <w:p w14:paraId="7E8CD200">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TCP/IP, HTTP, DHCP, DNS, RTP/RTCP, RTSP, and PPPoE</w:t>
            </w:r>
          </w:p>
        </w:tc>
      </w:tr>
      <w:tr w14:paraId="5CF9B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39C7AFF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wireless network</w:t>
            </w:r>
          </w:p>
        </w:tc>
        <w:tc>
          <w:tcPr>
            <w:tcW w:w="6946" w:type="dxa"/>
          </w:tcPr>
          <w:p w14:paraId="079E70D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Two SIM card slots, supports 5G networks, and is backward compatible with 4G</w:t>
            </w:r>
          </w:p>
        </w:tc>
      </w:tr>
      <w:tr w14:paraId="0B84B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1648328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Wi-Fi</w:t>
            </w:r>
          </w:p>
        </w:tc>
        <w:tc>
          <w:tcPr>
            <w:tcW w:w="6946" w:type="dxa"/>
          </w:tcPr>
          <w:p w14:paraId="7239C5B8">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switchable AP hotspot functionality</w:t>
            </w:r>
          </w:p>
        </w:tc>
      </w:tr>
      <w:tr w14:paraId="0781A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8376CEF">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PDA</w:t>
            </w:r>
          </w:p>
        </w:tc>
        <w:tc>
          <w:tcPr>
            <w:tcW w:w="6946" w:type="dxa"/>
          </w:tcPr>
          <w:p w14:paraId="488C133F">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w:t>
            </w:r>
          </w:p>
        </w:tc>
      </w:tr>
      <w:tr w14:paraId="62B36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71B4C1A">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memory</w:t>
            </w:r>
          </w:p>
        </w:tc>
        <w:tc>
          <w:tcPr>
            <w:tcW w:w="6946" w:type="dxa"/>
          </w:tcPr>
          <w:p w14:paraId="7A8ED44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dual TF cards; a single card has a maximum capacity of 512 GB.</w:t>
            </w:r>
          </w:p>
        </w:tc>
      </w:tr>
      <w:tr w14:paraId="1188B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12F5B110">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fixed position</w:t>
            </w:r>
          </w:p>
        </w:tc>
        <w:tc>
          <w:tcPr>
            <w:tcW w:w="6946" w:type="dxa"/>
          </w:tcPr>
          <w:p w14:paraId="06975FB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Beidou+GPS dual-mode positioning</w:t>
            </w:r>
          </w:p>
        </w:tc>
      </w:tr>
      <w:tr w14:paraId="11076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5F85C5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Conventional AI Features</w:t>
            </w:r>
          </w:p>
        </w:tc>
        <w:tc>
          <w:tcPr>
            <w:tcW w:w="6946" w:type="dxa"/>
          </w:tcPr>
          <w:p w14:paraId="4CCA835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Face recognition and license plate recognition are optional.</w:t>
            </w:r>
          </w:p>
        </w:tc>
      </w:tr>
      <w:tr w14:paraId="13544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53E7DF7">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Other AI features</w:t>
            </w:r>
          </w:p>
        </w:tc>
        <w:tc>
          <w:tcPr>
            <w:tcW w:w="6946" w:type="dxa"/>
          </w:tcPr>
          <w:p w14:paraId="274CBE3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Customizable detection for pedestrians, motor vehicles, non-motor vehicles, and safety helmets</w:t>
            </w:r>
          </w:p>
        </w:tc>
      </w:tr>
      <w:tr w14:paraId="6E01B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BBDDFE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Interface Protocol</w:t>
            </w:r>
          </w:p>
        </w:tc>
        <w:tc>
          <w:tcPr>
            <w:tcW w:w="6946" w:type="dxa"/>
          </w:tcPr>
          <w:p w14:paraId="3BD3718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Supports the ONVIF protocol, GB/T 28181 protocol, and B Interface protocol.</w:t>
            </w:r>
          </w:p>
        </w:tc>
      </w:tr>
      <w:tr w14:paraId="16E3E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9AE79E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 supply mode</w:t>
            </w:r>
          </w:p>
        </w:tc>
        <w:tc>
          <w:tcPr>
            <w:tcW w:w="6946" w:type="dxa"/>
          </w:tcPr>
          <w:p w14:paraId="1ED8E243">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4900mAh lithium battery (10Ah version available as an option)</w:t>
            </w:r>
          </w:p>
        </w:tc>
      </w:tr>
      <w:tr w14:paraId="10199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D687DA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power dissipation</w:t>
            </w:r>
          </w:p>
        </w:tc>
        <w:tc>
          <w:tcPr>
            <w:tcW w:w="6946" w:type="dxa"/>
          </w:tcPr>
          <w:p w14:paraId="12636329">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Normal: 7W, maximum: 20W</w:t>
            </w:r>
          </w:p>
        </w:tc>
      </w:tr>
      <w:tr w14:paraId="3BE5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0665CDF4">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way to install</w:t>
            </w:r>
          </w:p>
        </w:tc>
        <w:tc>
          <w:tcPr>
            <w:tcW w:w="6946" w:type="dxa"/>
          </w:tcPr>
          <w:p w14:paraId="47CB07F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Magnetic mount/ tripod</w:t>
            </w:r>
          </w:p>
        </w:tc>
      </w:tr>
      <w:tr w14:paraId="24EFD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43E6E24F">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levels of protection</w:t>
            </w:r>
          </w:p>
        </w:tc>
        <w:tc>
          <w:tcPr>
            <w:tcW w:w="6946" w:type="dxa"/>
          </w:tcPr>
          <w:p w14:paraId="27C8AD5D">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IP68</w:t>
            </w:r>
          </w:p>
        </w:tc>
      </w:tr>
      <w:tr w14:paraId="2D375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5389F252">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work environment</w:t>
            </w:r>
          </w:p>
        </w:tc>
        <w:tc>
          <w:tcPr>
            <w:tcW w:w="6946" w:type="dxa"/>
          </w:tcPr>
          <w:p w14:paraId="53FEC4A6">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Working temperature: -20°C to +55°C; Working humidity: 90%</w:t>
            </w:r>
          </w:p>
        </w:tc>
      </w:tr>
      <w:tr w14:paraId="5EACC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tcPr>
          <w:p w14:paraId="66D06C0E">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Weight and Size</w:t>
            </w:r>
          </w:p>
        </w:tc>
        <w:tc>
          <w:tcPr>
            <w:tcW w:w="6946" w:type="dxa"/>
          </w:tcPr>
          <w:p w14:paraId="75718807">
            <w:pPr>
              <w:rPr>
                <w:rFonts w:hint="eastAsia" w:ascii="宋体" w:hAnsi="宋体" w:eastAsia="宋体"/>
                <w:lang w:eastAsia="zh-CN"/>
              </w:rPr>
            </w:pPr>
            <w:r>
              <w:rPr>
                <w:rFonts w:hint="eastAsia" w:ascii="Times New Roman" w:hAnsi="宋体" w:eastAsia="微软雅黑" w:cstheme="minorBidi"/>
                <w:kern w:val="2"/>
                <w:sz w:val="21"/>
                <w:szCs w:val="22"/>
                <w:lang w:val="en-US" w:eastAsia="zh-CN" w:bidi="ar-SA"/>
              </w:rPr>
              <w:t>15.5kg，Φ220mm*280mm</w:t>
            </w:r>
          </w:p>
        </w:tc>
      </w:tr>
    </w:tbl>
    <w:p w14:paraId="40AC63F0">
      <w:pPr>
        <w:pStyle w:val="2"/>
        <w:numPr>
          <w:ilvl w:val="0"/>
          <w:numId w:val="2"/>
        </w:numPr>
        <w:bidi w:val="0"/>
        <w:ind w:left="425" w:leftChars="0" w:hanging="425" w:firstLineChars="0"/>
        <w:rPr>
          <w:rFonts w:hint="default"/>
          <w:b/>
          <w:sz w:val="30"/>
          <w:szCs w:val="30"/>
          <w:lang w:val="en-US" w:eastAsia="zh-CN"/>
        </w:rPr>
      </w:pPr>
      <w:r>
        <w:rPr>
          <w:rFonts w:hint="eastAsia" w:ascii="Times New Roman" w:eastAsia="微软雅黑" w:hAnsiTheme="minorHAnsi" w:cstheme="minorBidi"/>
          <w:b/>
          <w:kern w:val="44"/>
          <w:sz w:val="30"/>
          <w:szCs w:val="30"/>
          <w:lang w:val="en-US" w:eastAsia="zh-CN" w:bidi="ar-SA"/>
        </w:rPr>
        <w:t>application scenarios</w:t>
      </w:r>
    </w:p>
    <w:p w14:paraId="1829ABB1">
      <w:pPr>
        <w:pStyle w:val="3"/>
        <w:numPr>
          <w:ilvl w:val="1"/>
          <w:numId w:val="2"/>
        </w:numPr>
        <w:bidi w:val="0"/>
        <w:ind w:left="567" w:leftChars="0" w:hanging="567" w:firstLineChars="0"/>
        <w:rPr>
          <w:rFonts w:hint="eastAsia" w:ascii="宋体" w:hAnsi="宋体" w:eastAsia="宋体" w:cs="宋体"/>
          <w:sz w:val="30"/>
          <w:szCs w:val="30"/>
        </w:rPr>
      </w:pPr>
      <w:r>
        <w:rPr>
          <w:rFonts w:hint="eastAsia" w:ascii="Times New Roman" w:hAnsi="宋体" w:eastAsia="微软雅黑" w:cs="宋体"/>
          <w:b/>
          <w:kern w:val="2"/>
          <w:sz w:val="30"/>
          <w:szCs w:val="30"/>
          <w:lang w:val="en-US" w:eastAsia="zh-CN" w:bidi="ar-SA"/>
        </w:rPr>
        <w:t>On-site monitoring of petrochemical facilities</w:t>
      </w:r>
    </w:p>
    <w:p w14:paraId="573EAB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This equipment is suitable for flammable and explosive environments such as oilfield extraction zones, drilling platforms, oil and gas gathering and transportation stations, crude oil storage tank areas, and pipeline valve rooms. It possesses national explosion-proof certification and features a 304 stainless steel body, enabling safe operation in high-risk environments while providing 24/7 high-definition video surveillance, AI-powered intelligent analysis, and remote command capabilities.</w:t>
      </w:r>
    </w:p>
    <w:p w14:paraId="35CF874E">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Production and Storage of Hazardous Chemicals</w:t>
      </w:r>
    </w:p>
    <w:p w14:paraId="3B5B648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Designed for explosion-proof areas such as chemical plants, pharmaceutical factories, hazardous chemical warehouses, workshops handling flammable and explosive materials, and loading/unloading platforms. It provides real-time monitoring of production processes, personnel operations, and equipment status, with support for smoke and fire detection as well as area intrusion alarms, effectively preventing safety incidents.</w:t>
      </w:r>
    </w:p>
    <w:p w14:paraId="03D7870A">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Safety supervision of gas stations and refueling stations</w:t>
      </w:r>
    </w:p>
    <w:p w14:paraId="6C5975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This system is suitable for flammable and explosive environments such as gas stations, LNG/LPG refueling stations, and hydrogen refueling stations. It is deployed at critical locations including fueling islands, storage tank areas, and unloading zones, enabling comprehensive video surveillance with no blind spots, identification of personnel violations, and full-process recording of oil unloading operations, thereby meeting safety regulatory requirements.</w:t>
      </w:r>
    </w:p>
    <w:p w14:paraId="4882C207">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Port/Terminal Hazardous Chemicals Operation Area</w:t>
      </w:r>
    </w:p>
    <w:p w14:paraId="28A968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Designed for hazardous chemical storage areas in ports, dangerous goods loading/unloading terminals, and chemical shipping operation zones. Features explosion-proof design and IP68 high protection, enabling stable operation in coastal environments with high humidity and salt spray. It provides real-time transmission of operational footage to ensure safety during loading/unloading operations.</w:t>
      </w:r>
    </w:p>
    <w:p w14:paraId="5635C1DB">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Monitoring of explosion-proof areas in mines/metallurgical facilities</w:t>
      </w:r>
    </w:p>
    <w:p w14:paraId="348AABF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This device is suitable for high-risk environments such as coal mines, non-coal mines, metallurgical smelting facilities, and dust explosion-proof areas. Certified for explosion protection, it features intelligent fog removal and advanced night vision capabilities, enabling round-the-clock visual monitoring of work faces, transportation corridors, and critical equipment.</w:t>
      </w:r>
    </w:p>
    <w:p w14:paraId="73CE36D2">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Emergency Rescue and Accident Response</w:t>
      </w:r>
    </w:p>
    <w:p w14:paraId="6C3C480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Designed for emergency scenarios such as fires, leaks, and explosions in flammable and explosive environments. It can be rapidly deployed around the accident site to transmit real-time on-site footage and monitor environmental conditions, providing reliable video support for decision-making at command centers and ensuring safe operations by rescue personnel, thereby preventing entry into high-risk areas.</w:t>
      </w:r>
    </w:p>
    <w:p w14:paraId="438CC9BC">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Oil depot/ oil storage area security monitoring</w:t>
      </w:r>
    </w:p>
    <w:p w14:paraId="7A3D45E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Ideal for large oil depots, reserve oil storage facilities, and refined oil storage tank areas. It features explosion-proof, waterproof, and dust-proof capabilities, with AI-powered smoke detection, personnel boundary violation alerts, and license plate recognition, enabling integrated security and fire monitoring for the storage area.</w:t>
      </w:r>
    </w:p>
    <w:p w14:paraId="3426B3FB">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Military/Industrial/ Hazardous Materials Manufacturing Facilities</w:t>
      </w:r>
    </w:p>
    <w:p w14:paraId="37979E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Designed for specialized explosion-proof environments such as military enterprises, pyrotechnic and fireworks production, storage, and transportation facilities. It complies with stringent safety standards, enabling high-definition intelligent monitoring with zero spark and static electricity risks to ensure the safety of critical areas.</w:t>
      </w:r>
    </w:p>
    <w:p w14:paraId="3661E029">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Explosion-proof inspection of utility tunnels/pipes</w:t>
      </w:r>
    </w:p>
    <w:p w14:paraId="7C5124E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This equipment is suitable for explosion-proof sections of oil and gas transmission utility tunnels, hazardous media pipelines, and underground utility tunnels. It allows for temporary deployment and mobile inspection, enabling real-time monitoring of pipeline operations, construction damage, unauthorized intrusions, and other abnormal conditions to ensure pipeline safety.</w:t>
      </w:r>
    </w:p>
    <w:p w14:paraId="6A76F292">
      <w:pPr>
        <w:pStyle w:val="3"/>
        <w:numPr>
          <w:ilvl w:val="1"/>
          <w:numId w:val="2"/>
        </w:numPr>
        <w:bidi w:val="0"/>
        <w:ind w:left="567" w:leftChars="0" w:hanging="567" w:firstLineChars="0"/>
        <w:rPr>
          <w:rFonts w:hint="eastAsia" w:ascii="宋体" w:hAnsi="宋体" w:eastAsia="宋体" w:cs="宋体"/>
          <w:b/>
          <w:sz w:val="30"/>
          <w:szCs w:val="30"/>
        </w:rPr>
      </w:pPr>
      <w:r>
        <w:rPr>
          <w:rFonts w:hint="eastAsia" w:ascii="Times New Roman" w:hAnsi="宋体" w:eastAsia="微软雅黑" w:cs="宋体"/>
          <w:b/>
          <w:kern w:val="2"/>
          <w:sz w:val="30"/>
          <w:szCs w:val="30"/>
          <w:lang w:val="en-US" w:eastAsia="zh-CN" w:bidi="ar-SA"/>
        </w:rPr>
        <w:t>Explosion-proof area for power/e new energy systems</w:t>
      </w:r>
    </w:p>
    <w:p w14:paraId="143C898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Times New Roman" w:hAnsi="宋体" w:eastAsia="微软雅黑" w:cstheme="minorBidi"/>
          <w:kern w:val="2"/>
          <w:sz w:val="24"/>
          <w:szCs w:val="24"/>
          <w:lang w:val="en-US" w:eastAsia="zh-CN" w:bidi="ar-SA"/>
        </w:rPr>
        <w:t>Suitable for explosion-proof environments such as substation energy storage areas, lithium battery production workshops, hydrogen energy stations, and photovoltaic energy storage power stations. It meets both explosion-proof and high-protection standards, enabling intelligent and secure monitoring of energy storage equipment and production areas.</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26AF8">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B92B02">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1B92B02">
                    <w:pPr>
                      <w:pStyle w:val="6"/>
                      <w:rPr>
                        <w:rFonts w:hint="eastAsia" w:eastAsiaTheme="minorEastAsia"/>
                        <w:lang w:eastAsia="zh-CN"/>
                      </w:rPr>
                    </w:pPr>
                    <w:r>
                      <w:rPr>
                        <w:rFonts w:hint="eastAsia" w:ascii="Times New Roman" w:eastAsia="微软雅黑" w:hAnsiTheme="minorHAnsi" w:cstheme="minorBidi"/>
                        <w:kern w:val="2"/>
                        <w:sz w:val="18"/>
                        <w:szCs w:val="22"/>
                        <w:lang w:val="en-US" w:eastAsia="zh-CN" w:bidi="ar-SA"/>
                      </w:rPr>
                      <w:t>1</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AB5F71"/>
    <w:multiLevelType w:val="multilevel"/>
    <w:tmpl w:val="FDAB5F71"/>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52595441"/>
    <w:multiLevelType w:val="multilevel"/>
    <w:tmpl w:val="52595441"/>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4A4DC2"/>
    <w:rsid w:val="629530EE"/>
    <w:rsid w:val="704A37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560</Words>
  <Characters>831</Characters>
  <Lines>0</Lines>
  <Paragraphs>0</Paragraphs>
  <TotalTime>3</TotalTime>
  <ScaleCrop>false</ScaleCrop>
  <LinksUpToDate>false</LinksUpToDate>
  <CharactersWithSpaces>855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2026-04-28T06:24:00Z</dcterms:created>
  <dc:creator>Administrator</dc:creator>
  <cp:lastModifiedBy>肖培纪</cp:lastModifiedBy>
  <dcterms:modified xsi:type="dcterms:W3CDTF">2026-04-28T06:29:34Z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E5B936416C9843BD914CC2734F9E181B_12</vt:lpwstr>
  </property>
</Properties>
</file>